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B4" w:rsidRPr="00C16BB4" w:rsidRDefault="00C16BB4" w:rsidP="00C16BB4">
      <w:pPr>
        <w:spacing w:before="100" w:beforeAutospacing="1" w:after="100" w:afterAutospacing="1"/>
        <w:outlineLvl w:val="3"/>
        <w:rPr>
          <w:rFonts w:ascii="Times New Roman" w:hAnsi="Times New Roman"/>
          <w:b/>
          <w:bCs/>
          <w:sz w:val="24"/>
        </w:rPr>
      </w:pPr>
      <w:r w:rsidRPr="00C16BB4">
        <w:rPr>
          <w:rFonts w:ascii="Times New Roman" w:hAnsi="Times New Roman"/>
          <w:b/>
          <w:bCs/>
          <w:sz w:val="24"/>
        </w:rPr>
        <w:t>Introduction</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It is now three years since the Bartholomew Medical Group Patient Participation Group (PPG) was established. Although there have been some changes in the membership of the group the numbers and balance remain very similar to last year’s figures.</w:t>
      </w:r>
    </w:p>
    <w:p w:rsidR="00C16BB4" w:rsidRPr="00C16BB4" w:rsidRDefault="00C16BB4" w:rsidP="00C16BB4">
      <w:pPr>
        <w:spacing w:before="100" w:beforeAutospacing="1" w:after="100" w:afterAutospacing="1"/>
        <w:outlineLvl w:val="3"/>
        <w:rPr>
          <w:rFonts w:ascii="Times New Roman" w:hAnsi="Times New Roman"/>
          <w:b/>
          <w:bCs/>
          <w:sz w:val="24"/>
        </w:rPr>
      </w:pPr>
      <w:r w:rsidRPr="00C16BB4">
        <w:rPr>
          <w:rFonts w:ascii="Times New Roman" w:hAnsi="Times New Roman"/>
          <w:b/>
          <w:bCs/>
          <w:sz w:val="24"/>
        </w:rPr>
        <w:t>Profile</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Membership is open to all patients and from the outset we have tried to make our PPG representative of our patient profile. We looked at the profile of the practice taking into account age, sex, minority ethnic groups etc. Currently representation of the PPG is as follows:</w:t>
      </w: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404"/>
        <w:gridCol w:w="2316"/>
        <w:gridCol w:w="2897"/>
        <w:gridCol w:w="1929"/>
      </w:tblGrid>
      <w:tr w:rsidR="00C16BB4" w:rsidRPr="00C16BB4" w:rsidTr="00C16BB4">
        <w:trPr>
          <w:trHeight w:val="1020"/>
          <w:tblCellSpacing w:w="0" w:type="dxa"/>
        </w:trPr>
        <w:tc>
          <w:tcPr>
            <w:tcW w:w="0" w:type="auto"/>
            <w:shd w:val="clear" w:color="auto" w:fill="D7D7D7"/>
            <w:vAlign w:val="center"/>
            <w:hideMark/>
          </w:tcPr>
          <w:p w:rsidR="00C16BB4" w:rsidRPr="00C16BB4" w:rsidRDefault="00C16BB4" w:rsidP="00C16BB4">
            <w:pPr>
              <w:rPr>
                <w:rFonts w:ascii="Times New Roman" w:hAnsi="Times New Roman"/>
                <w:sz w:val="24"/>
              </w:rPr>
            </w:pPr>
            <w:r w:rsidRPr="00C16BB4">
              <w:rPr>
                <w:rFonts w:ascii="Times New Roman" w:hAnsi="Times New Roman"/>
                <w:b/>
                <w:bCs/>
                <w:sz w:val="24"/>
              </w:rPr>
              <w:t>Age Range</w:t>
            </w:r>
          </w:p>
        </w:tc>
        <w:tc>
          <w:tcPr>
            <w:tcW w:w="0" w:type="auto"/>
            <w:shd w:val="clear" w:color="auto" w:fill="D7D7D7"/>
            <w:vAlign w:val="center"/>
            <w:hideMark/>
          </w:tcPr>
          <w:p w:rsidR="00C16BB4" w:rsidRPr="00C16BB4" w:rsidRDefault="00C16BB4" w:rsidP="00C16BB4">
            <w:pPr>
              <w:rPr>
                <w:rFonts w:ascii="Times New Roman" w:hAnsi="Times New Roman"/>
                <w:sz w:val="24"/>
              </w:rPr>
            </w:pPr>
            <w:r w:rsidRPr="00C16BB4">
              <w:rPr>
                <w:rFonts w:ascii="Times New Roman" w:hAnsi="Times New Roman"/>
                <w:b/>
                <w:bCs/>
                <w:sz w:val="24"/>
              </w:rPr>
              <w:t>Total no of patients</w:t>
            </w:r>
          </w:p>
        </w:tc>
        <w:tc>
          <w:tcPr>
            <w:tcW w:w="0" w:type="auto"/>
            <w:shd w:val="clear" w:color="auto" w:fill="D7D7D7"/>
            <w:vAlign w:val="center"/>
            <w:hideMark/>
          </w:tcPr>
          <w:p w:rsidR="00C16BB4" w:rsidRPr="00C16BB4" w:rsidRDefault="00C16BB4" w:rsidP="00C16BB4">
            <w:pPr>
              <w:rPr>
                <w:rFonts w:ascii="Times New Roman" w:hAnsi="Times New Roman"/>
                <w:sz w:val="24"/>
              </w:rPr>
            </w:pPr>
            <w:r w:rsidRPr="00C16BB4">
              <w:rPr>
                <w:rFonts w:ascii="Times New Roman" w:hAnsi="Times New Roman"/>
                <w:b/>
                <w:bCs/>
                <w:sz w:val="24"/>
              </w:rPr>
              <w:t>% of practice population</w:t>
            </w:r>
          </w:p>
        </w:tc>
        <w:tc>
          <w:tcPr>
            <w:tcW w:w="0" w:type="auto"/>
            <w:shd w:val="clear" w:color="auto" w:fill="D7D7D7"/>
            <w:vAlign w:val="center"/>
            <w:hideMark/>
          </w:tcPr>
          <w:p w:rsidR="00C16BB4" w:rsidRPr="00C16BB4" w:rsidRDefault="00C16BB4" w:rsidP="00C16BB4">
            <w:pPr>
              <w:rPr>
                <w:rFonts w:ascii="Times New Roman" w:hAnsi="Times New Roman"/>
                <w:sz w:val="24"/>
              </w:rPr>
            </w:pPr>
            <w:r w:rsidRPr="00C16BB4">
              <w:rPr>
                <w:rFonts w:ascii="Times New Roman" w:hAnsi="Times New Roman"/>
                <w:b/>
                <w:bCs/>
                <w:sz w:val="24"/>
              </w:rPr>
              <w:t>No. of members</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0 – 14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2636</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16.7</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Group excluded</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15 – 24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1978</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12.4</w:t>
            </w:r>
          </w:p>
        </w:tc>
        <w:tc>
          <w:tcPr>
            <w:tcW w:w="0" w:type="auto"/>
            <w:vAlign w:val="center"/>
            <w:hideMark/>
          </w:tcPr>
          <w:p w:rsidR="00C16BB4" w:rsidRPr="00C16BB4" w:rsidRDefault="00C16BB4" w:rsidP="00C16BB4">
            <w:pPr>
              <w:rPr>
                <w:rFonts w:ascii="Times New Roman" w:hAnsi="Times New Roman"/>
                <w:sz w:val="24"/>
              </w:rPr>
            </w:pP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25 – 34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2119</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13.3</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35 – 44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1932</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12.1</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45 – 54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2273</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14.3</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55 – 64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1958</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12.3</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3</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65 – 74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1589</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10.0</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5</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75 – 84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1012</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6.4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2</w:t>
            </w: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85 – 94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389</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2.4</w:t>
            </w:r>
          </w:p>
        </w:tc>
        <w:tc>
          <w:tcPr>
            <w:tcW w:w="0" w:type="auto"/>
            <w:vAlign w:val="center"/>
            <w:hideMark/>
          </w:tcPr>
          <w:p w:rsidR="00C16BB4" w:rsidRPr="00C16BB4" w:rsidRDefault="00C16BB4" w:rsidP="00C16BB4">
            <w:pPr>
              <w:rPr>
                <w:rFonts w:ascii="Times New Roman" w:hAnsi="Times New Roman"/>
                <w:sz w:val="24"/>
              </w:rPr>
            </w:pP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95 – 104</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17</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0.1</w:t>
            </w:r>
          </w:p>
        </w:tc>
        <w:tc>
          <w:tcPr>
            <w:tcW w:w="0" w:type="auto"/>
            <w:vAlign w:val="center"/>
            <w:hideMark/>
          </w:tcPr>
          <w:p w:rsidR="00C16BB4" w:rsidRPr="00C16BB4" w:rsidRDefault="00C16BB4" w:rsidP="00C16BB4">
            <w:pPr>
              <w:rPr>
                <w:rFonts w:ascii="Times New Roman" w:hAnsi="Times New Roman"/>
                <w:sz w:val="24"/>
              </w:rPr>
            </w:pPr>
          </w:p>
        </w:tc>
      </w:tr>
      <w:tr w:rsidR="00C16BB4" w:rsidRPr="00C16BB4" w:rsidTr="00C16BB4">
        <w:trPr>
          <w:tblCellSpacing w:w="0" w:type="dxa"/>
        </w:trPr>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Total</w:t>
            </w: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15903</w:t>
            </w:r>
          </w:p>
        </w:tc>
        <w:tc>
          <w:tcPr>
            <w:tcW w:w="0" w:type="auto"/>
            <w:vAlign w:val="center"/>
            <w:hideMark/>
          </w:tcPr>
          <w:p w:rsidR="00C16BB4" w:rsidRPr="00C16BB4" w:rsidRDefault="00C16BB4" w:rsidP="00C16BB4">
            <w:pPr>
              <w:rPr>
                <w:rFonts w:ascii="Times New Roman" w:hAnsi="Times New Roman"/>
                <w:sz w:val="24"/>
              </w:rPr>
            </w:pPr>
          </w:p>
        </w:tc>
        <w:tc>
          <w:tcPr>
            <w:tcW w:w="0" w:type="auto"/>
            <w:vAlign w:val="center"/>
            <w:hideMark/>
          </w:tcPr>
          <w:p w:rsidR="00C16BB4" w:rsidRPr="00C16BB4" w:rsidRDefault="00C16BB4" w:rsidP="00C16BB4">
            <w:pPr>
              <w:rPr>
                <w:rFonts w:ascii="Times New Roman" w:hAnsi="Times New Roman"/>
                <w:sz w:val="24"/>
              </w:rPr>
            </w:pPr>
            <w:r w:rsidRPr="00C16BB4">
              <w:rPr>
                <w:rFonts w:ascii="Times New Roman" w:hAnsi="Times New Roman"/>
                <w:sz w:val="24"/>
              </w:rPr>
              <w:t>13</w:t>
            </w:r>
          </w:p>
        </w:tc>
      </w:tr>
    </w:tbl>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Males = 6, Females = 7. Ethnicity – all British or Mixed British.</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We are aware that there are still gaps in the representation of our population and continue to make attempts to be more inclusive. We actively encourage engagement from the groups of patients not currently represented at the meetings, particularly younger patients (under 44) and ethnic minorities and we continue to advertise for new members. The Practice initially decided that a face to face PPG would be the best format for meetings but as we move towards increased use of remote access to the practice it becomes more likely that we may consider virtual members in the future.</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lastRenderedPageBreak/>
        <w:t>We continue to advertise the group and canvas for new members on the practice website and with leaflets and posters in the surgery and branch site. A section of our practice website is dedicated to the PPG and advertises the group and any future meetings. Earlier in the year we published a newsletter which included a section about our PPG. We also provide information on the PPG to patients who come to register with the Practice.</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In addition to the patient representatives, two GPs and a number of our management and admin staff attend PPG meetings. Members felt it was important for GPs to be present at the meetings and as the doctors attend in rotation. This gives members a chance to get to know all of our GPs.</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b/>
          <w:bCs/>
          <w:sz w:val="24"/>
        </w:rPr>
        <w:t>Progress</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Over the past year the PPG has met four times and there is always a good attendance at meetings. At the June meeting the PPG reviewed the Terms of Reference. This will be an annual event. Members also received a report from the first meeting of the Appointments Committee held in May. The PPG were represented in order to include the views of patients in the discussions to look for improvements to our appointment system.</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In the August meeting the group discussed the issues to be included within new Patient Survey and drew up a draft copy of the questions. It was agreed that the issues of greatest concern remain the same as last year; therefore, in order to compare results accurately the questions remained essentially the same with some minor adjustments for the purpose of clarity.</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The focus for the questions remained as:</w:t>
      </w:r>
    </w:p>
    <w:p w:rsidR="00C16BB4" w:rsidRPr="00C16BB4" w:rsidRDefault="00C16BB4" w:rsidP="00C16BB4">
      <w:pPr>
        <w:numPr>
          <w:ilvl w:val="0"/>
          <w:numId w:val="1"/>
        </w:numPr>
        <w:spacing w:before="100" w:beforeAutospacing="1" w:after="100" w:afterAutospacing="1"/>
        <w:rPr>
          <w:rFonts w:ascii="Times New Roman" w:hAnsi="Times New Roman"/>
          <w:sz w:val="24"/>
        </w:rPr>
      </w:pPr>
      <w:r w:rsidRPr="00C16BB4">
        <w:rPr>
          <w:rFonts w:ascii="Times New Roman" w:hAnsi="Times New Roman"/>
          <w:sz w:val="24"/>
        </w:rPr>
        <w:t xml:space="preserve">Getting through to the surgery via telephone when the lines open at 8-00 am - despite an extra member of staff answering phones between eight and nine, Monday to Friday this is still a problem. </w:t>
      </w:r>
    </w:p>
    <w:p w:rsidR="00C16BB4" w:rsidRPr="00C16BB4" w:rsidRDefault="00C16BB4" w:rsidP="00C16BB4">
      <w:pPr>
        <w:numPr>
          <w:ilvl w:val="0"/>
          <w:numId w:val="1"/>
        </w:numPr>
        <w:spacing w:before="100" w:beforeAutospacing="1" w:after="100" w:afterAutospacing="1"/>
        <w:rPr>
          <w:rFonts w:ascii="Times New Roman" w:hAnsi="Times New Roman"/>
          <w:sz w:val="24"/>
        </w:rPr>
      </w:pPr>
      <w:r w:rsidRPr="00C16BB4">
        <w:rPr>
          <w:rFonts w:ascii="Times New Roman" w:hAnsi="Times New Roman"/>
          <w:sz w:val="24"/>
        </w:rPr>
        <w:t xml:space="preserve">The availability of appointments and in particular, pre-bookable appointments. </w:t>
      </w:r>
    </w:p>
    <w:p w:rsidR="00C16BB4" w:rsidRPr="00C16BB4" w:rsidRDefault="00C16BB4" w:rsidP="00C16BB4">
      <w:pPr>
        <w:numPr>
          <w:ilvl w:val="0"/>
          <w:numId w:val="1"/>
        </w:numPr>
        <w:spacing w:before="100" w:beforeAutospacing="1" w:after="100" w:afterAutospacing="1"/>
        <w:rPr>
          <w:rFonts w:ascii="Times New Roman" w:hAnsi="Times New Roman"/>
          <w:sz w:val="24"/>
        </w:rPr>
      </w:pPr>
      <w:r w:rsidRPr="00C16BB4">
        <w:rPr>
          <w:rFonts w:ascii="Times New Roman" w:hAnsi="Times New Roman"/>
          <w:sz w:val="24"/>
        </w:rPr>
        <w:t xml:space="preserve">Awareness of availability of extended </w:t>
      </w:r>
      <w:proofErr w:type="gramStart"/>
      <w:r w:rsidRPr="00C16BB4">
        <w:rPr>
          <w:rFonts w:ascii="Times New Roman" w:hAnsi="Times New Roman"/>
          <w:sz w:val="24"/>
        </w:rPr>
        <w:t>hours</w:t>
      </w:r>
      <w:proofErr w:type="gramEnd"/>
      <w:r w:rsidRPr="00C16BB4">
        <w:rPr>
          <w:rFonts w:ascii="Times New Roman" w:hAnsi="Times New Roman"/>
          <w:sz w:val="24"/>
        </w:rPr>
        <w:t xml:space="preserve"> surgeries. </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The survey was carried out September to October 2013. It had been agreed to aim for at least 500 responses and we received a total of 536 fully completed surveys from the two sites combined. We would like to thank all those who took part in the survey and those members of the PPG who came into the Health Centre and the Old Goole Branch to help with the process including collating the results.</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t>In January the PPG group met to discuss the survey results. These were similar to the previous year’s showing that in general our patients are happy with their overall care from the Surgery. They were also happy with their consultations with the GPs and found the receptionists helpful. However there were still some issues with appointment availability and with getting thorough to the practice first thing in the morning. The results are included below this report.</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b/>
          <w:bCs/>
          <w:sz w:val="24"/>
        </w:rPr>
        <w:t xml:space="preserve">Action Plan </w:t>
      </w:r>
    </w:p>
    <w:p w:rsidR="00C16BB4" w:rsidRPr="00C16BB4" w:rsidRDefault="00C16BB4" w:rsidP="00C16BB4">
      <w:pPr>
        <w:spacing w:before="100" w:beforeAutospacing="1" w:after="100" w:afterAutospacing="1"/>
        <w:rPr>
          <w:rFonts w:ascii="Times New Roman" w:hAnsi="Times New Roman"/>
          <w:sz w:val="24"/>
        </w:rPr>
      </w:pPr>
      <w:r w:rsidRPr="00C16BB4">
        <w:rPr>
          <w:rFonts w:ascii="Times New Roman" w:hAnsi="Times New Roman"/>
          <w:sz w:val="24"/>
        </w:rPr>
        <w:lastRenderedPageBreak/>
        <w:t>In response the PPG and practice proposed an action plan to improve the areas highlighted. The actions proposed were:</w:t>
      </w:r>
    </w:p>
    <w:p w:rsidR="00C16BB4" w:rsidRPr="00C16BB4" w:rsidRDefault="00C16BB4" w:rsidP="00C16BB4">
      <w:pPr>
        <w:numPr>
          <w:ilvl w:val="0"/>
          <w:numId w:val="2"/>
        </w:numPr>
        <w:spacing w:before="100" w:beforeAutospacing="1" w:after="100" w:afterAutospacing="1"/>
        <w:rPr>
          <w:rFonts w:ascii="Times New Roman" w:hAnsi="Times New Roman"/>
          <w:sz w:val="24"/>
        </w:rPr>
      </w:pPr>
      <w:r w:rsidRPr="00C16BB4">
        <w:rPr>
          <w:rFonts w:ascii="Times New Roman" w:hAnsi="Times New Roman"/>
          <w:sz w:val="24"/>
        </w:rPr>
        <w:t xml:space="preserve">The possibility of increased options on the telephone to give patients an element of self-triage and offer a choice of outcome according to patient need. </w:t>
      </w:r>
    </w:p>
    <w:p w:rsidR="00C16BB4" w:rsidRPr="00C16BB4" w:rsidRDefault="00C16BB4" w:rsidP="00C16BB4">
      <w:pPr>
        <w:numPr>
          <w:ilvl w:val="0"/>
          <w:numId w:val="2"/>
        </w:numPr>
        <w:spacing w:before="100" w:beforeAutospacing="1" w:after="100" w:afterAutospacing="1"/>
        <w:rPr>
          <w:rFonts w:ascii="Times New Roman" w:hAnsi="Times New Roman"/>
          <w:sz w:val="24"/>
        </w:rPr>
      </w:pPr>
      <w:r w:rsidRPr="00C16BB4">
        <w:rPr>
          <w:rFonts w:ascii="Times New Roman" w:hAnsi="Times New Roman"/>
          <w:sz w:val="24"/>
        </w:rPr>
        <w:t xml:space="preserve">An </w:t>
      </w:r>
      <w:r>
        <w:rPr>
          <w:rFonts w:ascii="Times New Roman" w:hAnsi="Times New Roman"/>
          <w:sz w:val="24"/>
        </w:rPr>
        <w:t xml:space="preserve">audit </w:t>
      </w:r>
      <w:r w:rsidRPr="00C16BB4">
        <w:rPr>
          <w:rFonts w:ascii="Times New Roman" w:hAnsi="Times New Roman"/>
          <w:sz w:val="24"/>
        </w:rPr>
        <w:t xml:space="preserve">of the appointment system following which recommendations will be made to the partners. Any suggested improvements will be presented to the PPG for discussion. Online access enabling patients to book and cancel their own appointments and to order repeat prescriptions is about to become available and it is hoped that this will improve patient satisfaction in both areas. </w:t>
      </w:r>
    </w:p>
    <w:p w:rsidR="00C16BB4" w:rsidRPr="00C16BB4" w:rsidRDefault="00C16BB4" w:rsidP="00C16BB4">
      <w:pPr>
        <w:numPr>
          <w:ilvl w:val="0"/>
          <w:numId w:val="2"/>
        </w:numPr>
        <w:spacing w:before="100" w:beforeAutospacing="1" w:after="100" w:afterAutospacing="1"/>
        <w:rPr>
          <w:rFonts w:ascii="Times New Roman" w:hAnsi="Times New Roman"/>
          <w:sz w:val="24"/>
        </w:rPr>
      </w:pPr>
      <w:r w:rsidRPr="00C16BB4">
        <w:rPr>
          <w:rFonts w:ascii="Times New Roman" w:hAnsi="Times New Roman"/>
          <w:sz w:val="24"/>
        </w:rPr>
        <w:t xml:space="preserve">Increased staff </w:t>
      </w:r>
      <w:bookmarkStart w:id="0" w:name="_GoBack"/>
      <w:bookmarkEnd w:id="0"/>
      <w:r w:rsidRPr="00C16BB4">
        <w:rPr>
          <w:rFonts w:ascii="Times New Roman" w:hAnsi="Times New Roman"/>
          <w:sz w:val="24"/>
        </w:rPr>
        <w:t xml:space="preserve">training to redirect patients to other appropriate available services, for example the pharmacy link (to obtain treatment for minor illnesses without seeing a GP), and to give information regarding pre-bookable appointments, extended hours surgeries and nurse practitioner consultations. </w:t>
      </w:r>
    </w:p>
    <w:p w:rsidR="00A45BE5" w:rsidRDefault="00A45BE5"/>
    <w:sectPr w:rsidR="00A45B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6431B"/>
    <w:multiLevelType w:val="multilevel"/>
    <w:tmpl w:val="2792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B7AE5"/>
    <w:multiLevelType w:val="multilevel"/>
    <w:tmpl w:val="E394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B4"/>
    <w:rsid w:val="001968E2"/>
    <w:rsid w:val="00996567"/>
    <w:rsid w:val="00A45BE5"/>
    <w:rsid w:val="00C16BB4"/>
    <w:rsid w:val="00DE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E6A7D"/>
    <w:pPr>
      <w:framePr w:w="7920" w:h="1980" w:hRule="exact" w:hSpace="180" w:wrap="auto" w:hAnchor="page" w:xAlign="center" w:yAlign="bottom"/>
      <w:ind w:left="2880"/>
    </w:pPr>
    <w:rPr>
      <w:rFonts w:ascii="Arial" w:eastAsiaTheme="majorEastAsia" w:hAnsi="Arial"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E6A7D"/>
    <w:pPr>
      <w:framePr w:w="7920" w:h="1980" w:hRule="exact" w:hSpace="180" w:wrap="auto" w:hAnchor="page" w:xAlign="center" w:yAlign="bottom"/>
      <w:ind w:left="2880"/>
    </w:pPr>
    <w:rPr>
      <w:rFonts w:ascii="Arial" w:eastAsiaTheme="majorEastAsia" w:hAnsi="Arial"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3948">
      <w:bodyDiv w:val="1"/>
      <w:marLeft w:val="0"/>
      <w:marRight w:val="0"/>
      <w:marTop w:val="0"/>
      <w:marBottom w:val="0"/>
      <w:divBdr>
        <w:top w:val="none" w:sz="0" w:space="0" w:color="auto"/>
        <w:left w:val="none" w:sz="0" w:space="0" w:color="auto"/>
        <w:bottom w:val="none" w:sz="0" w:space="0" w:color="auto"/>
        <w:right w:val="none" w:sz="0" w:space="0" w:color="auto"/>
      </w:divBdr>
      <w:divsChild>
        <w:div w:id="1532062948">
          <w:marLeft w:val="0"/>
          <w:marRight w:val="0"/>
          <w:marTop w:val="0"/>
          <w:marBottom w:val="0"/>
          <w:divBdr>
            <w:top w:val="none" w:sz="0" w:space="0" w:color="auto"/>
            <w:left w:val="none" w:sz="0" w:space="0" w:color="auto"/>
            <w:bottom w:val="none" w:sz="0" w:space="0" w:color="auto"/>
            <w:right w:val="none" w:sz="0" w:space="0" w:color="auto"/>
          </w:divBdr>
          <w:divsChild>
            <w:div w:id="1534071661">
              <w:marLeft w:val="0"/>
              <w:marRight w:val="0"/>
              <w:marTop w:val="0"/>
              <w:marBottom w:val="0"/>
              <w:divBdr>
                <w:top w:val="none" w:sz="0" w:space="0" w:color="auto"/>
                <w:left w:val="none" w:sz="0" w:space="0" w:color="auto"/>
                <w:bottom w:val="none" w:sz="0" w:space="0" w:color="auto"/>
                <w:right w:val="none" w:sz="0" w:space="0" w:color="auto"/>
              </w:divBdr>
              <w:divsChild>
                <w:div w:id="872771330">
                  <w:marLeft w:val="0"/>
                  <w:marRight w:val="0"/>
                  <w:marTop w:val="0"/>
                  <w:marBottom w:val="0"/>
                  <w:divBdr>
                    <w:top w:val="none" w:sz="0" w:space="0" w:color="auto"/>
                    <w:left w:val="none" w:sz="0" w:space="0" w:color="auto"/>
                    <w:bottom w:val="none" w:sz="0" w:space="0" w:color="auto"/>
                    <w:right w:val="none" w:sz="0" w:space="0" w:color="auto"/>
                  </w:divBdr>
                  <w:divsChild>
                    <w:div w:id="1206869220">
                      <w:marLeft w:val="0"/>
                      <w:marRight w:val="0"/>
                      <w:marTop w:val="0"/>
                      <w:marBottom w:val="0"/>
                      <w:divBdr>
                        <w:top w:val="none" w:sz="0" w:space="0" w:color="auto"/>
                        <w:left w:val="none" w:sz="0" w:space="0" w:color="auto"/>
                        <w:bottom w:val="none" w:sz="0" w:space="0" w:color="auto"/>
                        <w:right w:val="none" w:sz="0" w:space="0" w:color="auto"/>
                      </w:divBdr>
                      <w:divsChild>
                        <w:div w:id="5738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2015-03-30T15:52:00Z</dcterms:created>
  <dcterms:modified xsi:type="dcterms:W3CDTF">2015-03-30T15:55:00Z</dcterms:modified>
</cp:coreProperties>
</file>